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C1" w:rsidRDefault="001509C1" w:rsidP="001509C1">
      <w:pPr>
        <w:spacing w:line="360" w:lineRule="auto"/>
        <w:rPr>
          <w:rFonts w:ascii="Liberation Sans" w:eastAsia="Times New Roman" w:hAnsi="Liberation Sans" w:cs="Arial"/>
          <w:b/>
          <w:bCs/>
          <w:color w:val="000000"/>
          <w:sz w:val="20"/>
          <w:szCs w:val="20"/>
          <w:lang w:val="en-GB" w:eastAsia="en-GB"/>
        </w:rPr>
      </w:pPr>
      <w:r>
        <w:rPr>
          <w:rFonts w:ascii="Liberation Sans" w:eastAsia="Times New Roman" w:hAnsi="Liberation Sans" w:cs="Arial"/>
          <w:b/>
          <w:bCs/>
          <w:color w:val="000000"/>
          <w:sz w:val="20"/>
          <w:szCs w:val="20"/>
          <w:lang w:val="en-GB" w:eastAsia="en-GB"/>
        </w:rPr>
        <w:t xml:space="preserve">Legends </w:t>
      </w:r>
      <w:r>
        <w:rPr>
          <w:rFonts w:ascii="Liberation Sans" w:eastAsia="Times New Roman" w:hAnsi="Liberation Sans" w:cs="Arial" w:hint="eastAsia"/>
          <w:b/>
          <w:bCs/>
          <w:color w:val="000000"/>
          <w:sz w:val="20"/>
          <w:szCs w:val="20"/>
          <w:lang w:val="en-GB" w:eastAsia="en-GB"/>
        </w:rPr>
        <w:t>supplementary</w:t>
      </w:r>
      <w:r>
        <w:rPr>
          <w:rFonts w:ascii="Liberation Sans" w:eastAsia="Times New Roman" w:hAnsi="Liberation Sans" w:cs="Arial"/>
          <w:b/>
          <w:bCs/>
          <w:color w:val="000000"/>
          <w:sz w:val="20"/>
          <w:szCs w:val="20"/>
          <w:lang w:val="en-GB" w:eastAsia="en-GB"/>
        </w:rPr>
        <w:t xml:space="preserve"> materials</w:t>
      </w:r>
    </w:p>
    <w:p w:rsidR="001509C1" w:rsidRDefault="001509C1" w:rsidP="001509C1">
      <w:pPr>
        <w:spacing w:line="360" w:lineRule="auto"/>
        <w:rPr>
          <w:rFonts w:ascii="Liberation Sans" w:eastAsia="Times New Roman" w:hAnsi="Liberation Sans" w:cs="Arial"/>
          <w:b/>
          <w:bCs/>
          <w:color w:val="000000"/>
          <w:sz w:val="20"/>
          <w:szCs w:val="20"/>
          <w:lang w:val="en-GB" w:eastAsia="en-GB"/>
        </w:rPr>
      </w:pP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Times New Roman" w:hAnsi="Liberation Sans" w:cs="Arial"/>
          <w:b/>
          <w:bCs/>
          <w:color w:val="000000"/>
          <w:sz w:val="20"/>
          <w:szCs w:val="20"/>
          <w:lang w:val="en-GB" w:eastAsia="en-GB"/>
        </w:rPr>
        <w:t>F</w:t>
      </w:r>
      <w:proofErr w:type="spellStart"/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>igure</w:t>
      </w:r>
      <w:proofErr w:type="spellEnd"/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 xml:space="preserve"> S1: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Dot plot representation of the comparison of the previously published </w:t>
      </w:r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R. </w:t>
      </w:r>
      <w:proofErr w:type="spellStart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>collo-cygni</w:t>
      </w:r>
      <w:proofErr w:type="spellEnd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DK05 genome and our Urug2</w:t>
      </w:r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genome. Only alignments that span more than 1 kb in both the query and the reference, and are more than 90% identical are included. Dots are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coloured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according to % identity as indicated in the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colour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bar to the right.</w:t>
      </w:r>
    </w:p>
    <w:p w:rsidR="001509C1" w:rsidRDefault="001509C1" w:rsidP="001509C1">
      <w:pPr>
        <w:spacing w:line="360" w:lineRule="auto"/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</w:pP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 xml:space="preserve">Figure S2: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Genome browser screenshot showing the alternative gene models called using gene predictors and the accuracy that the RNA-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seq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brings in choosing the right model. The gene in the red box matches the RNA-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Seq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data, the alternative call is discarded.</w:t>
      </w:r>
    </w:p>
    <w:p w:rsidR="001509C1" w:rsidRDefault="001509C1" w:rsidP="001509C1">
      <w:pPr>
        <w:spacing w:line="360" w:lineRule="auto"/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</w:pP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 xml:space="preserve">Figure S3: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A) The number of genes with expression evidence (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fkpm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&gt; 1</w:t>
      </w:r>
      <w:proofErr w:type="gram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)  under</w:t>
      </w:r>
      <w:proofErr w:type="gram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different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axenic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conditions. B) The number of genes that show higher or lower expression values (log2-fold change) under different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axenic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conditions when compared with standard growth medium. C) Differences in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dN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/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dS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between genes that have higher (magenta) and lower (green) expression values on </w:t>
      </w:r>
      <w:proofErr w:type="gram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BSA  or</w:t>
      </w:r>
      <w:proofErr w:type="gram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no changes (grey) compared to other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axenic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media.</w:t>
      </w:r>
    </w:p>
    <w:p w:rsidR="001509C1" w:rsidRDefault="001509C1" w:rsidP="001509C1">
      <w:pPr>
        <w:spacing w:line="360" w:lineRule="auto"/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</w:pP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 xml:space="preserve">Figure S4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Density of putative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effector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encoding genes (green) and transposable elements (grey) for scaffolds 21-34 plotted in 10 kb non-overlapping sliding windows along the genome (x axis). Density is defined as number of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basepairs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that is part of a putative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effector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or TE in the window (y axis). Generally very few effectors are found on these scaffolds and association with TEs is not evident. </w:t>
      </w:r>
    </w:p>
    <w:p w:rsidR="001509C1" w:rsidRDefault="001509C1" w:rsidP="001509C1">
      <w:pPr>
        <w:spacing w:line="360" w:lineRule="auto"/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</w:pP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>Table S1: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Summary of the</w:t>
      </w: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 xml:space="preserve">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RNA-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seq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data. FPKM values are reported for each gene in different media and can be used to calculate differential expression.</w:t>
      </w: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 xml:space="preserve">Table S2: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Gene identifiers of all predicted putative secreted proteins and putative effectors</w:t>
      </w:r>
    </w:p>
    <w:p w:rsidR="001509C1" w:rsidRDefault="001509C1" w:rsidP="001509C1">
      <w:pPr>
        <w:spacing w:line="360" w:lineRule="auto"/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</w:pP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>Table S3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: Summary statistics for BUSCO output. </w:t>
      </w:r>
    </w:p>
    <w:p w:rsid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br/>
      </w: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>Table S4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: Comparison of transposable and repeat elements in </w:t>
      </w:r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R. </w:t>
      </w:r>
      <w:proofErr w:type="spellStart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>collo-cygni</w:t>
      </w:r>
      <w:proofErr w:type="spellEnd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and related species.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br/>
      </w:r>
    </w:p>
    <w:p w:rsidR="006A3E59" w:rsidRPr="001509C1" w:rsidRDefault="001509C1" w:rsidP="001509C1">
      <w:pPr>
        <w:spacing w:line="360" w:lineRule="auto"/>
        <w:rPr>
          <w:rFonts w:ascii="Liberation Sans" w:hAnsi="Liberation Sans"/>
          <w:sz w:val="20"/>
          <w:szCs w:val="20"/>
        </w:rPr>
      </w:pPr>
      <w:r>
        <w:rPr>
          <w:rFonts w:ascii="Liberation Sans" w:eastAsia="Yu Mincho" w:hAnsi="Liberation Sans" w:cs="Times New Roman"/>
          <w:b/>
          <w:bCs/>
          <w:color w:val="000000"/>
          <w:sz w:val="20"/>
          <w:szCs w:val="20"/>
          <w:lang w:val="en-US" w:eastAsia="zh-CN" w:bidi="hi-IN"/>
        </w:rPr>
        <w:t>Table S5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: </w:t>
      </w:r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R. </w:t>
      </w:r>
      <w:proofErr w:type="spellStart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>collo-cygni</w:t>
      </w:r>
      <w:proofErr w:type="spellEnd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 </w:t>
      </w:r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and </w:t>
      </w:r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Z. </w:t>
      </w:r>
      <w:proofErr w:type="spellStart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>tritici</w:t>
      </w:r>
      <w:proofErr w:type="spellEnd"/>
      <w:r>
        <w:rPr>
          <w:rFonts w:ascii="Liberation Sans" w:eastAsia="Yu Mincho" w:hAnsi="Liberation Sans" w:cs="Times New Roman"/>
          <w:i/>
          <w:iCs/>
          <w:color w:val="000000"/>
          <w:sz w:val="20"/>
          <w:szCs w:val="20"/>
          <w:lang w:val="en-US" w:eastAsia="zh-CN" w:bidi="hi-IN"/>
        </w:rPr>
        <w:t xml:space="preserve">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orthologs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and 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dN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/</w:t>
      </w:r>
      <w:proofErr w:type="spellStart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>dS</w:t>
      </w:r>
      <w:proofErr w:type="spellEnd"/>
      <w:r>
        <w:rPr>
          <w:rFonts w:ascii="Liberation Sans" w:eastAsia="Yu Mincho" w:hAnsi="Liberation Sans" w:cs="Times New Roman"/>
          <w:color w:val="000000"/>
          <w:sz w:val="20"/>
          <w:szCs w:val="20"/>
          <w:lang w:val="en-US" w:eastAsia="zh-CN" w:bidi="hi-IN"/>
        </w:rPr>
        <w:t xml:space="preserve"> calculations</w:t>
      </w:r>
    </w:p>
    <w:sectPr w:rsidR="006A3E59" w:rsidRPr="001509C1" w:rsidSect="006A3E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09C1"/>
    <w:rsid w:val="001509C1"/>
    <w:rsid w:val="006A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9C1"/>
    <w:pPr>
      <w:spacing w:after="0" w:line="240" w:lineRule="auto"/>
    </w:pPr>
    <w:rPr>
      <w:rFonts w:ascii="Calibri" w:eastAsia="Calibri" w:hAnsi="Calibri" w:cs="DejaVu Sans"/>
      <w:color w:val="00000A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2018-10-24T17:12:00Z</dcterms:created>
  <dcterms:modified xsi:type="dcterms:W3CDTF">2018-10-24T17:12:00Z</dcterms:modified>
</cp:coreProperties>
</file>